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PROVINCIA DE BUENOS AIRES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DIRECCION GENERAL DE CULTURA Y EDUCACION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CARRERA: Profesorado en  HISTORIA.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ESPACIO CURRICULAR: ESPACIO DE LA PRÁCTICA III.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CURSO: 3 er  Año. CICLO LECTIVO 2021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CANTIDAD DE HORAS SEMANALES: Anual. 4  módulos semanales.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PROFESORA: Laura Radetich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FUNDAMENTACION</w:t>
      </w:r>
    </w:p>
    <w:p w:rsidR="00000000" w:rsidDel="00000000" w:rsidP="00000000" w:rsidRDefault="00000000" w:rsidRPr="00000000" w14:paraId="0000000B">
      <w:pPr>
        <w:pStyle w:val="Title"/>
        <w:jc w:val="both"/>
        <w:rPr>
          <w:rFonts w:ascii="Arial" w:cs="Arial" w:eastAsia="Arial" w:hAnsi="Arial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ab/>
        <w:tab/>
        <w:t xml:space="preserve">La enseñanza de las Ciencias sociales enfrentan en nuestro contexto sociocultural y político educativo el desafío de la construcción crítica de conocimientos, prácticas sociales y valores para que sus integrantes individual y/o colectivamente demanden mayor calidad ciudadana y ejerciten sus derechos. El desarrollo de los alumnos del nivel medio-secundario (ES ciclo básico),  medido por los objetivos finales de la educación secundaria deben caracterizarse por la formación ciudadana, el acceso al mundo del trabajo y la continuidad propedéutica. Ninguno de ellos puede prescindir de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 atinada y ponderada interpretación del mundo y  de la sociedad en la que se desarrollará y será responsable, una conciencia histórica que consolide sus valores ciudadanos, guíe sus conductas y expectativas económicas, sociales y políticas y modele sus caracterizaciones del mundo y de la sociedad para poder defender lo construido y cambiar o remover los obstáculos para el desarrollo futuro.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Title"/>
        <w:ind w:firstLine="709"/>
        <w:jc w:val="both"/>
        <w:rPr>
          <w:rFonts w:ascii="Arial" w:cs="Arial" w:eastAsia="Arial" w:hAnsi="Arial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En este sentido la formación docente de los futuros profesores en Historia y Cs. Sociales deberán asumir un compromiso doblemente complejo: enseñar contenidos de Ciencias  Sociales que promuevan la visibilidad de aspectos fundamentales de la vida y contexto de sus alumnos y propender al ejercicio crítico y reflexivo de los mismos en la construcción de  ideas, conceptos, normas, habilidades, estrategias para formularse interrogantes y darle sentido y contenido a las realidades socio-históricas imperantes. La factibilidad de asunción crítica y reflexiva de la compleja y controversial tarea que  se emprende al guiar un proceso de enseñanza-aprendizaje del Area de Ciencias Sociales define la centralidad que cobra el Espacio de la Práctica, en el campo del saber científico social y en el campo de nuestras disciplinas pedagógicas. Este es, tal como reza nuestra currícula,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“praxis”, síntesis de teoría y práctica, que apunta al proceso educativo en una forma adecuada de reflexión y análisis continuos.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ind w:firstLine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A partir de las experiencias docentes –únicas e irrepetibles y siempre intransferibles- que dejan lo esencial de cada una, se va configurando la representación de un rol que sólo así puede estructurarse y proyectarse en la propia práctica docente.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Title"/>
        <w:ind w:firstLine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El espacio de la práctica en III año es singular por  su dimensión,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integración de saberes y estrategias específicas y prácticas.</w:t>
      </w:r>
    </w:p>
    <w:p w:rsidR="00000000" w:rsidDel="00000000" w:rsidP="00000000" w:rsidRDefault="00000000" w:rsidRPr="00000000" w14:paraId="00000010">
      <w:pPr>
        <w:pStyle w:val="Title"/>
        <w:ind w:firstLine="709"/>
        <w:jc w:val="both"/>
        <w:rPr>
          <w:rFonts w:ascii="Arial" w:cs="Arial" w:eastAsia="Arial" w:hAnsi="Arial"/>
          <w:i w:val="0"/>
          <w:color w:val="000000"/>
          <w:sz w:val="20"/>
          <w:szCs w:val="20"/>
        </w:rPr>
      </w:pPr>
      <w:bookmarkStart w:colFirst="0" w:colLast="0" w:name="_heading=h.xi9x10tyi1kn" w:id="0"/>
      <w:bookmarkEnd w:id="0"/>
      <w:r w:rsidDel="00000000" w:rsidR="00000000" w:rsidRPr="00000000">
        <w:rPr>
          <w:rFonts w:ascii="Arial" w:cs="Arial" w:eastAsia="Arial" w:hAnsi="Arial"/>
          <w:i w:val="0"/>
          <w:color w:val="000000"/>
          <w:sz w:val="20"/>
          <w:szCs w:val="20"/>
          <w:rtl w:val="0"/>
        </w:rPr>
        <w:t xml:space="preserve">Este espacio deberia evidenciar, exponer, integrar y evaluar todas las competencias desarrolladas en los tres años anteriores, potenciar las estrategias no actualizadas, ponderar y evaluar los criterios y presupuestos políticos y filosóficos con los que todos asumimos la tarea de educar, entendiendo que son valoraciones  y principios personales que ameritan ser cotejados por otras miradas institucionales y profesionales y que, en última instancia, todas las observaciones sistemáticas de nuestra formación deben propiciar el desarrollo más adecuado, en un ámbito en el cual no existen verdades inconmovibles.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actual proyecto anual tiene como propósito brindar las teorías, actividades y herramientas para guiar a los alumnos en el desarrollo de las competencias y el dominio de las estrategias necesarias para desarrollarse en la actividad docente.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EXPECTATIVAS DE LOGRO:</w:t>
      </w:r>
    </w:p>
    <w:p w:rsidR="00000000" w:rsidDel="00000000" w:rsidP="00000000" w:rsidRDefault="00000000" w:rsidRPr="00000000" w14:paraId="00000014">
      <w:pPr>
        <w:spacing w:after="0" w:line="240" w:lineRule="auto"/>
        <w:ind w:right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Reflexión sobre las competencias requeridas para el desempeño del rol docente y para el desarrollo profesional permanente.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Integración en Equipos de trabajo para la elaboración del P.E.I. y otras acciones correspondientes a las distintas dimensiones de la Gestión Institucional.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Identificación de la normativa de aplicación en distintas situaciones, referidas al personal docente, a la Institución y al Sistema Educativo en el nivel secundario (ESB).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Atención a la diversidad socio-cultural y personal de sus alumnos, a través de la elaboración de propuestas didácticas flexibles que promuevan la calidad y la equidad educativa.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Elaboración de propuestas didácticas que tengan en cuenta el aprendizaje que puedan realizar los alumnos en ámbitos extraescolares, promoviendo la interacción escuela-comunidad.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Detección y selección de estrategias para la atención de dificultades de aprendizaje e implementación de propuestas de Compensación.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Integración de los conocimientos adquiridos en los diferentes Espacios y Perspectivas, en la elaboración, fundamentación, ejecución hay evaluación de Proyectos Pedagógico-Didácticos y en la resolución de situaciones problemáticas de la institución y el aula del área de Ciencias Sociales..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Coherencia de los Proyectos Pedagógico-Didácticos elaborados, con los Lineamientos Curriculares de la Jurisdicción.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Valoración de la función docente como rol transmisor de la cultura, agente de cambio y de desarrollo personal y por ende, como trabajo especial que demanda ejercicio de virtudes, de una ética profesional y de humildad con respecto al conocimiento y rigurosidad en su búsqueda.  </w:t>
      </w:r>
    </w:p>
    <w:p w:rsidR="00000000" w:rsidDel="00000000" w:rsidP="00000000" w:rsidRDefault="00000000" w:rsidRPr="00000000" w14:paraId="0000001E">
      <w:pPr>
        <w:spacing w:after="0" w:line="240" w:lineRule="auto"/>
        <w:ind w:left="720" w:right="-14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9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PROPÓSITOS  DEL 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Aplicación de instrumentos y recursos didácticos que otorguen centralidad al carácter axiológico  (intencional y cargado de sentido de todas las conductas humanas) complejo, controversial y polisémico de todos los estudios relativos a lo humano y social 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Conocimiento de los conceptos centrales de la Didáctica y de la Didáctica de las Ciencias sociales y aplicación crítica de los conceptos que fundamentan la acción profesional del docente.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Descubrimiento de la importancia de la planificación de la tarea docente como instrumento de la teoría-acción (o praxis) y de allí a la reflexión sobre la acción para la nueva teoría acción..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Comprensión de los conceptos operativos de eje anual, transversal, diacronía y sincronía en la planificación de contenidos del área social, selección de contenidos, unicidad de la acción docente en todos los planos del aprendizaje, la unidad de técnica-actividad-recurso, la evaluación como proceso continuo y sus tipos, la acreditación, compensación y promoción, etc.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Aplicación aquilatada y crítica de las lecturas y de los análisis de bibliografía general y específica y de otras fuentes de información; y reflexión crítica sobre fuentes y parámetros  de selección de bibliografía específica que permitan articular una integración de los períodos abordados en  el ejercicio de la práctica, con sus diversas matrices culturales e ideológicas; y correcta aplicación del vocabulario específico.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Operatividad con todos los instrumentos propios del trabajo docente: planes-proyectos, contenidos, técnicas, actividades, recursos, parámetros de evaluación, acreditación y promoción.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Desarrollo de la amplitud, humildad y el respeto de los practicantes en el manejo de grupos   priorizando el                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el desarrollo y  la subjetividad en formación del alumnado.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Búsqueda, sistematización y análisis de información de diferentes fuentes vinculadas con la práctica docente.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Selección de propósitos significativos que permitan acceder a una instancia de revisión para que sea posible resignificar la práctica.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Acordar proyectos didácticos para la residencia.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Elaboración de estrategias e instrumentos para el análisis del grupo-clase y de criterios para analizar las prácticas docentes en el aula.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Organización y coordinación de tareas grupales entre pares para las observaciones y entrevistas.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Vinculación de los distintos elementos y procesos que componen la tarea pedagógico-didáctica desde el planeamiento hasta la evaluación.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Selección de propósitos significativos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Definición de la dimensiones epistemológico-específico- metodológica de la Didáctica de las Ciencias Soc.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 de los conceptos y de los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contenidos, expectativas de logro, actividades, recursos, técnicas y evaluación,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dentro del ámbito de la enseñanza-aprendizaje de las Ciencias sociales.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 y vinculación de los elementos contextuales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Análisis, correlación y conexión de los procesos de planeamiento y  evaluación.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 e interpretación de los distintos recursos, técnicas, estrategias para el desarrollo aúlico.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Fundamentación y crítica de los distintos criterios que guían la selección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estrategias, contenidos y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Preparación de distintas actividades integradas que contengan diferentes recursos y técnicas para la enseñanza de las ciencias sociales.   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Autoevaluación y corrección permanente de los propósitos y mecanismos utilizados en el aula.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Integrar la complejidad, multiperspectividad  y multicausalidad y del conocimiento historico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Interés por la indagación y por el conocimiento sistemático de las Ciencias Sociales.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Valoración del lenguaje preciso y claro como expresión y organización del pensamiento.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Interés por la utilización del razonamiento crítico y creativo para la explicación de problemas sociales y la elaboración de respuestas creativas.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line="240" w:lineRule="auto"/>
        <w:ind w:left="360"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Posición reflexiva y crítica 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Perseverancia en la búsqueda de resultados.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Tolerancia para integrar  las diferentes opiniones y  valoración del intercambio de ideas y valoración del pensamiento divergente como materia elemental del aprendizaje de  lo social.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Interés por la utilización del razonamiento crítico y creativo para la explicación de problemas sociales y la elaboración de respuestas creativas.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Posición reflexiva y crítica para el tratamiento de los materiales que permitan avanzar en el conocimiento de la realidad social.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Desarrollo de una actitud crítica (y autocrítica)  y una constante receptividad hacia todo lo que sucede en el abordaje de situaciones de enseñanza adecuadas a la realidad social.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pos="9922"/>
        </w:tabs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Asunción de un perfil personal en la defensa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valores, prácticas, discursos, identidades, hábitos, etc,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relación con el tratamiento de categorías sociales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Valoración de la búsqueda y exploración constante como perfil del docente en general y muy especialmente del docente en Ciencias sociales en particular.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Desarrollo crítico y reflexivo del rol docente y de las implicancias éticas que el mismo conlleva.   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before="9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Pensamiento crítico y reflexivo sobre el vínculo de los imaginarios sociales, respecto del pasado-presente-futuro y del espacio dado y construido con el lugar de la institución escolar y la tarea a desarrollar como construcción social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Valoración del pensamiento divergente y de la multiperspectividad e interrelación constructiva con otras disciplinas sociales.  </w:t>
      </w:r>
    </w:p>
    <w:p w:rsidR="00000000" w:rsidDel="00000000" w:rsidP="00000000" w:rsidRDefault="00000000" w:rsidRPr="00000000" w14:paraId="00000046">
      <w:pPr>
        <w:spacing w:after="0" w:line="240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right="-143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CONTENIDOS CONCEPTUALES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pacing w:after="0" w:line="24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Construcción del rol docente.</w:t>
      </w:r>
    </w:p>
    <w:p w:rsidR="00000000" w:rsidDel="00000000" w:rsidP="00000000" w:rsidRDefault="00000000" w:rsidRPr="00000000" w14:paraId="0000004A">
      <w:pPr>
        <w:spacing w:after="0" w:line="240" w:lineRule="auto"/>
        <w:ind w:left="360" w:right="-14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Articulación del saber y el saber enseñar en Ciencias Sociales y particularmente en Historia.</w:t>
      </w:r>
    </w:p>
    <w:p w:rsidR="00000000" w:rsidDel="00000000" w:rsidP="00000000" w:rsidRDefault="00000000" w:rsidRPr="00000000" w14:paraId="0000004C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Reflexión sobre la propia práctica como estrategia de Formación Permanente.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Colaboración e integración en Equipos de Trabajo para la interpretación de la currícula y otras actividades institucionales.</w:t>
      </w:r>
    </w:p>
    <w:p w:rsidR="00000000" w:rsidDel="00000000" w:rsidP="00000000" w:rsidRDefault="00000000" w:rsidRPr="00000000" w14:paraId="0000004E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 de los marcos normativos que regulan la profesión docente.</w:t>
      </w:r>
    </w:p>
    <w:p w:rsidR="00000000" w:rsidDel="00000000" w:rsidP="00000000" w:rsidRDefault="00000000" w:rsidRPr="00000000" w14:paraId="0000004F">
      <w:pPr>
        <w:spacing w:after="0" w:line="24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Intervención en contextos específicos.</w:t>
      </w:r>
    </w:p>
    <w:p w:rsidR="00000000" w:rsidDel="00000000" w:rsidP="00000000" w:rsidRDefault="00000000" w:rsidRPr="00000000" w14:paraId="00000051">
      <w:pPr>
        <w:spacing w:after="0" w:line="240" w:lineRule="auto"/>
        <w:ind w:left="360" w:right="-14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Adecuación a situaciones de diversidad cultural y social.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Articulación de aportes a otros agentes socializadores.</w:t>
      </w:r>
    </w:p>
    <w:p w:rsidR="00000000" w:rsidDel="00000000" w:rsidP="00000000" w:rsidRDefault="00000000" w:rsidRPr="00000000" w14:paraId="00000054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Identificación de las principales dificultades de aprendizaje en el campo de las distintas Ciencias sociales y en la construcción de conceptos referidos a la realidad social.</w:t>
      </w:r>
    </w:p>
    <w:p w:rsidR="00000000" w:rsidDel="00000000" w:rsidP="00000000" w:rsidRDefault="00000000" w:rsidRPr="00000000" w14:paraId="00000055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Diseño y aplicación de estrategias de Compensación.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Desarrollo de Proyectos par a los campos problemáticos de abordaje de lo espacial-temporal/ económico-político/ socio-cultural específicos.</w:t>
      </w:r>
    </w:p>
    <w:p w:rsidR="00000000" w:rsidDel="00000000" w:rsidP="00000000" w:rsidRDefault="00000000" w:rsidRPr="00000000" w14:paraId="00000057">
      <w:pPr>
        <w:spacing w:after="0" w:line="240" w:lineRule="auto"/>
        <w:ind w:left="1440" w:right="-14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line="240" w:lineRule="auto"/>
        <w:ind w:left="720" w:right="-143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Elaboración, implementación y evaluación de Proyectos de enseñanza.</w:t>
      </w:r>
    </w:p>
    <w:p w:rsidR="00000000" w:rsidDel="00000000" w:rsidP="00000000" w:rsidRDefault="00000000" w:rsidRPr="00000000" w14:paraId="00000059">
      <w:pPr>
        <w:spacing w:after="0" w:line="240" w:lineRule="auto"/>
        <w:ind w:left="1080" w:right="-14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Encuadre en el Diseño Curricular Jurisdiccional.</w:t>
      </w:r>
    </w:p>
    <w:p w:rsidR="00000000" w:rsidDel="00000000" w:rsidP="00000000" w:rsidRDefault="00000000" w:rsidRPr="00000000" w14:paraId="0000005B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Integración de los aprendizajes realizados en los diferentes Espacios Formativos.</w:t>
      </w:r>
    </w:p>
    <w:p w:rsidR="00000000" w:rsidDel="00000000" w:rsidP="00000000" w:rsidRDefault="00000000" w:rsidRPr="00000000" w14:paraId="0000005C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Justificación a partir de los marcos teórico-prácticos construidos.</w:t>
      </w:r>
    </w:p>
    <w:p w:rsidR="00000000" w:rsidDel="00000000" w:rsidP="00000000" w:rsidRDefault="00000000" w:rsidRPr="00000000" w14:paraId="0000005D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Aplicación en situaciones reales del mundo social en el que están involucrados los integrantes de  la comunidad educativa.</w:t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Creatividad para renovar las formas y estilos de transmisión, presentación y relación con los alumnos.</w:t>
      </w:r>
    </w:p>
    <w:p w:rsidR="00000000" w:rsidDel="00000000" w:rsidP="00000000" w:rsidRDefault="00000000" w:rsidRPr="00000000" w14:paraId="0000005F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Promoción del pensamiento divergente.</w:t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Amplitud para resignificar sus discursos y prácticas pedagógicas y didácticas y para ampliar sus mapas conceptuales específicos de las Ciencias Sociales.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Afán por la profundización, extensión e intensificación del conocimiento de lo social. </w:t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spacing w:after="0" w:line="240" w:lineRule="auto"/>
        <w:ind w:left="144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Evaluación fundamentada en criterios pertinentes.</w:t>
      </w:r>
    </w:p>
    <w:p w:rsidR="00000000" w:rsidDel="00000000" w:rsidP="00000000" w:rsidRDefault="00000000" w:rsidRPr="00000000" w14:paraId="00000063">
      <w:pPr>
        <w:spacing w:after="0" w:line="240" w:lineRule="auto"/>
        <w:ind w:right="-143"/>
        <w:jc w:val="both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9" w:line="249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ESTRATEGIAS.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METODOLOGÍA Y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9" w:line="249" w:lineRule="auto"/>
        <w:ind w:right="-143"/>
        <w:jc w:val="both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La estrategia general del presente plan se formulará sobre  tres momentos: el de reflexión e inte gración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intentará enmarcar  las distintas gravitaciones que imponen sobre la praxis docente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la institución escolar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concreta y contextualmente definida,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el bagaje o “caja de herramientas” pedagógico-didáctico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la currícula o estructura específica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el alumnado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concreta y contextualmente definido. En éste marco los encuentros, dentro de las instituciones de acogida para la práctica intensiva, permitirán un intercambio integrador con vistas a la observación y  el análisis que todo diagnóstico amerita. En estos primeros encuentros se plantearán actividades centradas en lo teórico, en tanto registro y evaluación de los presupuestos ideados y de los instrumentos disponibles. Y de seguimiento crítico de las valoraciones otorgadas a la eficacia de las prácticas ajenas. El que suscribe adoptará una tarea y rol de guía problematizador y de apoyo teórico con bibliografía y  recursos que constan en los siguientes items, insistiendo en ejes de focalización: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la multiperspectividad de la mirada, el esfuerzo didáctico, la necesidad de planes sólidos y a la vez flexibles, la necesidad de recursos didácticos y materiales con un ejercicio previo de agotamiento de las múltiples utilidades.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En segundo lugar, comenzará con la observación,  que se enmarcará en la formulación de informes  finalizará con la presentación de los mismos y su coevaluación,  finalizando con un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diagnóstico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para, acabado el diagnóstico pasar a la  etapa de confección de planes o proyectos didácticos. </w:t>
      </w:r>
    </w:p>
    <w:p w:rsidR="00000000" w:rsidDel="00000000" w:rsidP="00000000" w:rsidRDefault="00000000" w:rsidRPr="00000000" w14:paraId="00000069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Por ultimo , la actualización o puesta en práctica en forma intensiva de lo proyectado culmina rá con la evaluación, coevaluación y autoevaluación del proceso y las experiencias que los mismos entrañaron .</w:t>
      </w:r>
    </w:p>
    <w:p w:rsidR="00000000" w:rsidDel="00000000" w:rsidP="00000000" w:rsidRDefault="00000000" w:rsidRPr="00000000" w14:paraId="0000006A">
      <w:pPr>
        <w:spacing w:after="0" w:before="9" w:line="360" w:lineRule="auto"/>
        <w:ind w:right="-143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Este plan concibe  el primer momento desde un análisis de la constelación de elementos que forman parte del proceso de enseñanza-aprendizaje. En este sentido se apoyará al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alumnado para la selección y producción y articulación de estrategias personales y la maximización de recursos didácticos y materiales extendiéndoles bibliografia de apoyo específica del área pedagógico-didáctica, metodológica de las ciencias sociales y filmografía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En todos los casos se asumirá por el que suscribe, no una reformulación integral de lo específico, pero sí una guía crítica para la intensificación y modulación de multicausalidades, perspectividades y controversialidades.</w:t>
      </w:r>
    </w:p>
    <w:p w:rsidR="00000000" w:rsidDel="00000000" w:rsidP="00000000" w:rsidRDefault="00000000" w:rsidRPr="00000000" w14:paraId="0000006B">
      <w:pPr>
        <w:spacing w:after="0" w:before="9" w:line="360" w:lineRule="auto"/>
        <w:ind w:right="-143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Respecto de las matrices generales para adoptar técnicas específicas, se extiende en Recursos materiales y didácticos la enumeración de marcos que serán abordados entre el momento de reflexión e integración y el de planeamiento. Del mismo modo se extiende una guía orientativa para la reflexión y abordaje de las instancias previas a la práctica (período de ayudantía concebido como una breve etapa adaptativa en el curso de práctica para ponderar clima, nivel comunicacional, ajustes, etc).</w:t>
      </w:r>
    </w:p>
    <w:p w:rsidR="00000000" w:rsidDel="00000000" w:rsidP="00000000" w:rsidRDefault="00000000" w:rsidRPr="00000000" w14:paraId="0000006C">
      <w:pPr>
        <w:spacing w:after="0" w:before="9" w:line="360" w:lineRule="auto"/>
        <w:ind w:right="-143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propondrán diálogos abiertos del grupo de practicantes con el alumnado y los docentes de las instituciones para proyectar las visibilidades múltiples que la tarea de enseñar y aprender inscribe en los imaginarios y prácticas, a través de procesos propuestos como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opacos y naturalizados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pero enquistados en el ejercicio cotidiano, por ejemplo: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la rutinización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como cultura profesional y la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formalización y trivialización de los contenidos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aprender por parte de los alumnos y de enseñar de los docentes, así como la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burocratización de instancias pedagógicas y didácticas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directivos y personal docente extraúlico.También la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ritualización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todos los procesos como rigidización y poco apego a interpretar los cambios culturales que la realidad le impone a la institución escolar. Este punto será cristalizado como horizonte potencial para tareas de investigación y extensión.</w:t>
      </w:r>
    </w:p>
    <w:p w:rsidR="00000000" w:rsidDel="00000000" w:rsidP="00000000" w:rsidRDefault="00000000" w:rsidRPr="00000000" w14:paraId="0000006D">
      <w:pPr>
        <w:tabs>
          <w:tab w:val="left" w:pos="8222"/>
        </w:tabs>
        <w:spacing w:after="0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relación a los procedimientos, conceptos-principios y actitudes-valoraciones que se, pretende: 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pos="8789"/>
        </w:tabs>
        <w:spacing w:after="0" w:line="240" w:lineRule="auto"/>
        <w:ind w:left="360" w:right="-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Confección de  planeamientos anuales y de planes de clase.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pos="8789"/>
        </w:tabs>
        <w:spacing w:after="0" w:line="240" w:lineRule="auto"/>
        <w:ind w:left="360" w:right="-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Autoevaluación, coevaluación y evlauación.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pos="8789"/>
        </w:tabs>
        <w:spacing w:after="0" w:line="240" w:lineRule="auto"/>
        <w:ind w:left="360" w:right="-5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Elaboración de secuencias didácticas con soportes en nuevas tecnologías.</w:t>
      </w:r>
    </w:p>
    <w:p w:rsidR="00000000" w:rsidDel="00000000" w:rsidP="00000000" w:rsidRDefault="00000000" w:rsidRPr="00000000" w14:paraId="00000071">
      <w:pPr>
        <w:tabs>
          <w:tab w:val="left" w:pos="8789"/>
        </w:tabs>
        <w:spacing w:after="0" w:line="240" w:lineRule="auto"/>
        <w:ind w:left="360" w:right="-5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8789"/>
        </w:tabs>
        <w:spacing w:after="0" w:line="240" w:lineRule="auto"/>
        <w:ind w:right="-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RECURSOS MATERIALES Y DIDÁCTICOS</w:t>
      </w:r>
    </w:p>
    <w:p w:rsidR="00000000" w:rsidDel="00000000" w:rsidP="00000000" w:rsidRDefault="00000000" w:rsidRPr="00000000" w14:paraId="00000075">
      <w:pPr>
        <w:spacing w:after="0" w:before="9" w:line="360" w:lineRule="auto"/>
        <w:ind w:right="-143"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9" w:line="249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pondrá el énfasis en recursos tradicionales con apoyatura en nuevas tecnologías y el abordaje de las nuevas problemáticas que deberán tenerse en cuenta según las nuevas prácticas y funciones como por ejemplo abordar las practicas desde una perspectiva no patriarcal e igualitaria desde el punto de vista del género. </w:t>
        <w:tab/>
      </w:r>
    </w:p>
    <w:p w:rsidR="00000000" w:rsidDel="00000000" w:rsidP="00000000" w:rsidRDefault="00000000" w:rsidRPr="00000000" w14:paraId="00000077">
      <w:pPr>
        <w:spacing w:after="0" w:before="9" w:line="249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78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PRESUPUESTO DE TIEMPO</w:t>
      </w:r>
    </w:p>
    <w:p w:rsidR="00000000" w:rsidDel="00000000" w:rsidP="00000000" w:rsidRDefault="00000000" w:rsidRPr="00000000" w14:paraId="0000007A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9" w:line="360" w:lineRule="auto"/>
        <w:ind w:right="-143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acuerdo con el cronograma que disponga la institución, se plantea: al menos, tres espacios temporales y secuenciados que contemplen,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6 semanas de práctica intensivas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residencia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institución secundaria o ESB: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24 semanas de observación y practicas en contexto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dos posteriores a la residencia para el análisis y reflexión sobre la práctica, la autoevaluación, coevaluación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9" w:line="249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line="36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BIBLIOGRAFIA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OBSERVACIONES: 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bibliografía restante obrará como apoyo existente en la biblioteca de quien suscribe al efecto de consulta específica o como material complementario de acceso directo.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DOCUMENTOS</w:t>
      </w:r>
    </w:p>
    <w:p w:rsidR="00000000" w:rsidDel="00000000" w:rsidP="00000000" w:rsidRDefault="00000000" w:rsidRPr="00000000" w14:paraId="00000082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Ley de educación nacional. 2006.</w:t>
      </w:r>
    </w:p>
    <w:p w:rsidR="00000000" w:rsidDel="00000000" w:rsidP="00000000" w:rsidRDefault="00000000" w:rsidRPr="00000000" w14:paraId="00000083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Ley de educación provincial de Buenos Aires, 2006.</w:t>
      </w:r>
    </w:p>
    <w:p w:rsidR="00000000" w:rsidDel="00000000" w:rsidP="00000000" w:rsidRDefault="00000000" w:rsidRPr="00000000" w14:paraId="00000084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Marco General de política curricular. Niveles y modalidades del sistema educativo. Resolución 3655/07.</w:t>
      </w:r>
    </w:p>
    <w:p w:rsidR="00000000" w:rsidDel="00000000" w:rsidP="00000000" w:rsidRDefault="00000000" w:rsidRPr="00000000" w14:paraId="00000085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Diseños curriculares de Ciencias sociales de 1er año, Historia  de 2 y 3er año.</w:t>
      </w:r>
    </w:p>
    <w:p w:rsidR="00000000" w:rsidDel="00000000" w:rsidP="00000000" w:rsidRDefault="00000000" w:rsidRPr="00000000" w14:paraId="00000086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mallCaps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rtl w:val="0"/>
        </w:rPr>
        <w:t xml:space="preserve">BIBLIOGRAFÍA DE CONSULTA OBLIGATORIA:</w:t>
      </w:r>
    </w:p>
    <w:p w:rsidR="00000000" w:rsidDel="00000000" w:rsidP="00000000" w:rsidRDefault="00000000" w:rsidRPr="00000000" w14:paraId="00000089">
      <w:pPr>
        <w:tabs>
          <w:tab w:val="left" w:pos="4253"/>
        </w:tabs>
        <w:spacing w:after="0" w:line="240" w:lineRule="auto"/>
        <w:ind w:right="-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Alderoqui, Silvia y otros.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Los CBC y la enseñanza de las ciencias Sociales.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AZ edit. Bs.As. 1996.</w:t>
      </w:r>
    </w:p>
    <w:p w:rsidR="00000000" w:rsidDel="00000000" w:rsidP="00000000" w:rsidRDefault="00000000" w:rsidRPr="00000000" w14:paraId="0000008A">
      <w:pPr>
        <w:tabs>
          <w:tab w:val="left" w:pos="3258"/>
        </w:tabs>
        <w:spacing w:after="0" w:line="240" w:lineRule="auto"/>
        <w:ind w:right="-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Aisenberg, Beatriz y Alderoqui, Silvia (comps)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Didáctica de las Ciencias Sociales. Aportes y reflexión.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Piados. Bs.As. 1994.</w:t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Didáctica de las Ciencias Sociales. Teorías con prácticas.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Paidos. Bs.As. 2005.</w:t>
      </w:r>
    </w:p>
    <w:p w:rsidR="00000000" w:rsidDel="00000000" w:rsidP="00000000" w:rsidRDefault="00000000" w:rsidRPr="00000000" w14:paraId="0000008B">
      <w:pPr>
        <w:tabs>
          <w:tab w:val="left" w:pos="4253"/>
        </w:tabs>
        <w:spacing w:after="0" w:line="240" w:lineRule="auto"/>
        <w:ind w:right="-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Alderoqui, Silvia y otros.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Los CBC y la enseñanza de las ciencias Sociales.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AZ edit. Bs.As. 1996.</w:t>
      </w:r>
    </w:p>
    <w:p w:rsidR="00000000" w:rsidDel="00000000" w:rsidP="00000000" w:rsidRDefault="00000000" w:rsidRPr="00000000" w14:paraId="0000008C">
      <w:pPr>
        <w:spacing w:after="0" w:line="240" w:lineRule="auto"/>
        <w:ind w:right="-57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right="566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9" w:line="249" w:lineRule="auto"/>
        <w:ind w:right="-143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PROPUESTA DE EVALUACIÓN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F">
      <w:pPr>
        <w:spacing w:after="0" w:before="9" w:line="249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evaluación como proceso constante y permanente, se realizará a través de: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after="0" w:line="36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Observaciones, registros del período de observación y elaboración de un proyecto de Aula para la práctica.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line="36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Practicas presenciales y virtuales -o sincrónicas- en E.S.B abordaje híbrido de los nuevos contextos áulicos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0" w:line="360" w:lineRule="auto"/>
        <w:ind w:left="720" w:right="-14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Análisis y reflexión sobre la práctica: evaluación, autoevaluación y coevaluación.</w:t>
      </w:r>
    </w:p>
    <w:p w:rsidR="00000000" w:rsidDel="00000000" w:rsidP="00000000" w:rsidRDefault="00000000" w:rsidRPr="00000000" w14:paraId="00000094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Este plan sostendrá para la aprobación parcial y acreditación final acuerdos cuatrimestrales con instrumentos e instancias de evaluación adecuadas a cada momento en consonancia con la resolución citada. </w:t>
      </w:r>
    </w:p>
    <w:p w:rsidR="00000000" w:rsidDel="00000000" w:rsidP="00000000" w:rsidRDefault="00000000" w:rsidRPr="00000000" w14:paraId="00000095">
      <w:pPr>
        <w:spacing w:after="0" w:before="9" w:line="360" w:lineRule="auto"/>
        <w:ind w:right="-14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Estos elementos constituirán la continuidad anual, complementaciones que desde el registro aporten cuantitativamente experiencias y desde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los ajustes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enriquezcan la formación docente y abran en las escuelas medias el trabajo de registro y evaluación de la actividad educativa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right="566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9781"/>
        </w:tabs>
        <w:spacing w:after="0" w:line="240" w:lineRule="auto"/>
        <w:ind w:right="-94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9781"/>
        </w:tabs>
        <w:spacing w:after="0" w:line="240" w:lineRule="auto"/>
        <w:ind w:right="-94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9781"/>
        </w:tabs>
        <w:spacing w:after="0" w:line="240" w:lineRule="auto"/>
        <w:ind w:right="-94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9781"/>
        </w:tabs>
        <w:spacing w:after="0" w:line="240" w:lineRule="auto"/>
        <w:ind w:right="-94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9781"/>
        </w:tabs>
        <w:spacing w:after="0" w:line="240" w:lineRule="auto"/>
        <w:ind w:right="-94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9781"/>
        </w:tabs>
        <w:spacing w:after="0" w:line="360" w:lineRule="auto"/>
        <w:ind w:right="-94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851" w:top="33" w:left="567" w:right="56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jc w:val="right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PLAN AUTORIZADO POR RESOLUCION N°: 13259/99</w:t>
    </w:r>
  </w:p>
  <w:p w:rsidR="00000000" w:rsidDel="00000000" w:rsidP="00000000" w:rsidRDefault="00000000" w:rsidRPr="00000000" w14:paraId="000000BE">
    <w:pPr>
      <w:pBdr>
        <w:bottom w:color="000000" w:space="1" w:sz="6" w:val="single"/>
      </w:pBdr>
      <w:spacing w:after="0" w:line="240" w:lineRule="auto"/>
      <w:rPr>
        <w:rFonts w:ascii="Arial" w:cs="Arial" w:eastAsia="Arial" w:hAnsi="Arial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u w:val="single"/>
        <w:rtl w:val="0"/>
      </w:rPr>
      <w:t xml:space="preserve">VIGENCIA AÑO/S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: 2020/2021</w:t>
    </w:r>
  </w:p>
  <w:p w:rsidR="00000000" w:rsidDel="00000000" w:rsidP="00000000" w:rsidRDefault="00000000" w:rsidRPr="00000000" w14:paraId="000000C0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73.000000000002" w:type="dxa"/>
      <w:jc w:val="righ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31"/>
      <w:gridCol w:w="7542"/>
      <w:tblGridChange w:id="0">
        <w:tblGrid>
          <w:gridCol w:w="3231"/>
          <w:gridCol w:w="7542"/>
        </w:tblGrid>
      </w:tblGridChange>
    </w:tblGrid>
    <w:tr>
      <w:trPr>
        <w:cantSplit w:val="0"/>
        <w:trHeight w:val="2021" w:hRule="atLeast"/>
        <w:tblHeader w:val="0"/>
      </w:trPr>
      <w:tc>
        <w:tcPr/>
        <w:p w:rsidR="00000000" w:rsidDel="00000000" w:rsidP="00000000" w:rsidRDefault="00000000" w:rsidRPr="00000000" w14:paraId="000000A5">
          <w:pPr>
            <w:pStyle w:val="Title"/>
            <w:tabs>
              <w:tab w:val="left" w:pos="3119"/>
            </w:tabs>
            <w:rPr>
              <w:rFonts w:ascii="Arial" w:cs="Arial" w:eastAsia="Arial" w:hAnsi="Arial"/>
              <w:b w:val="1"/>
              <w:i w:val="0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-1904</wp:posOffset>
                </wp:positionV>
                <wp:extent cx="950898" cy="866140"/>
                <wp:effectExtent b="0" l="0" r="0" t="0"/>
                <wp:wrapNone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A6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9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B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C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Provincia de Buenos Aires</w:t>
          </w:r>
        </w:p>
        <w:p w:rsidR="00000000" w:rsidDel="00000000" w:rsidP="00000000" w:rsidRDefault="00000000" w:rsidRPr="00000000" w14:paraId="000000AD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Dirección de Cultura y Educación</w:t>
          </w:r>
        </w:p>
        <w:p w:rsidR="00000000" w:rsidDel="00000000" w:rsidP="00000000" w:rsidRDefault="00000000" w:rsidRPr="00000000" w14:paraId="000000AE">
          <w:pPr>
            <w:pStyle w:val="Title"/>
            <w:tabs>
              <w:tab w:val="left" w:pos="3119"/>
            </w:tabs>
            <w:rPr>
              <w:rFonts w:ascii="Arial" w:cs="Arial" w:eastAsia="Arial" w:hAnsi="Arial"/>
              <w:b w:val="1"/>
              <w:i w:val="0"/>
              <w:color w:val="000000"/>
            </w:rPr>
          </w:pPr>
          <w:r w:rsidDel="00000000" w:rsidR="00000000" w:rsidRPr="00000000">
            <w:rPr>
              <w:b w:val="1"/>
              <w:i w:val="0"/>
              <w:color w:val="000000"/>
              <w:sz w:val="16"/>
              <w:szCs w:val="16"/>
              <w:rtl w:val="0"/>
            </w:rPr>
            <w:t xml:space="preserve">Dirección de Educación Superior Docente Inicial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F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i w:val="0"/>
              <w:color w:val="000000"/>
              <w:sz w:val="28"/>
              <w:szCs w:val="28"/>
              <w:rtl w:val="0"/>
            </w:rPr>
            <w:t xml:space="preserve">Instituto Superior de Formación Docente y Técnica Nº 46</w:t>
          </w:r>
        </w:p>
        <w:p w:rsidR="00000000" w:rsidDel="00000000" w:rsidP="00000000" w:rsidRDefault="00000000" w:rsidRPr="00000000" w14:paraId="000000B0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i w:val="0"/>
              <w:color w:val="000000"/>
              <w:sz w:val="28"/>
              <w:szCs w:val="28"/>
              <w:rtl w:val="0"/>
            </w:rPr>
            <w:t xml:space="preserve">“2 de abril de 1982”</w:t>
          </w:r>
        </w:p>
        <w:p w:rsidR="00000000" w:rsidDel="00000000" w:rsidP="00000000" w:rsidRDefault="00000000" w:rsidRPr="00000000" w14:paraId="000000B1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Sede: Av. Pueyrredón 1250</w:t>
          </w:r>
        </w:p>
        <w:p w:rsidR="00000000" w:rsidDel="00000000" w:rsidP="00000000" w:rsidRDefault="00000000" w:rsidRPr="00000000" w14:paraId="000000B3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Sub-sede: Medrano 90</w:t>
          </w:r>
        </w:p>
        <w:p w:rsidR="00000000" w:rsidDel="00000000" w:rsidP="00000000" w:rsidRDefault="00000000" w:rsidRPr="00000000" w14:paraId="000000B4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 Ramos Mejía., La Matanza </w:t>
          </w:r>
        </w:p>
        <w:p w:rsidR="00000000" w:rsidDel="00000000" w:rsidP="00000000" w:rsidRDefault="00000000" w:rsidRPr="00000000" w14:paraId="000000B5">
          <w:pPr>
            <w:pStyle w:val="Title"/>
            <w:tabs>
              <w:tab w:val="left" w:pos="3119"/>
            </w:tabs>
            <w:rPr>
              <w:b w:val="1"/>
              <w:i w:val="0"/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i w:val="0"/>
              <w:color w:val="000000"/>
              <w:sz w:val="20"/>
              <w:szCs w:val="20"/>
              <w:rtl w:val="0"/>
            </w:rPr>
            <w:t xml:space="preserve">Te:+54 011 4658-6285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8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-----------------------------------------------------------------------------------------------------------------------------------------------------------------------------------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820"/>
      </w:tabs>
      <w:spacing w:after="0" w:before="0" w:line="240" w:lineRule="auto"/>
      <w:ind w:left="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  <w:t xml:space="preserve">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8"/>
      <w:numFmt w:val="bullet"/>
      <w:lvlText w:val="-"/>
      <w:lvlJc w:val="left"/>
      <w:pPr>
        <w:ind w:left="2340" w:hanging="360"/>
      </w:pPr>
      <w:rPr>
        <w:rFonts w:ascii="Arial" w:cs="Arial" w:eastAsia="Arial" w:hAnsi="Arial"/>
      </w:rPr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3119"/>
      </w:tabs>
      <w:spacing w:after="0" w:line="240" w:lineRule="auto"/>
      <w:jc w:val="center"/>
    </w:pPr>
    <w:rPr>
      <w:rFonts w:ascii="Times New Roman" w:cs="Times New Roman" w:eastAsia="Times New Roman" w:hAnsi="Times New Roman"/>
      <w:i w:val="1"/>
      <w:color w:val="800000"/>
      <w:sz w:val="18"/>
      <w:szCs w:val="18"/>
    </w:rPr>
  </w:style>
  <w:style w:type="paragraph" w:styleId="Normal" w:default="1">
    <w:name w:val="Normal"/>
    <w:qFormat w:val="1"/>
    <w:rsid w:val="00F51D0D"/>
    <w:pPr>
      <w:spacing w:after="160" w:line="259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5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5DD"/>
    <w:rPr>
      <w:rFonts w:ascii="Tahoma" w:cs="Tahoma" w:hAnsi="Tahoma"/>
      <w:sz w:val="16"/>
      <w:szCs w:val="16"/>
    </w:rPr>
  </w:style>
  <w:style w:type="paragraph" w:styleId="Ttulo">
    <w:name w:val="Title"/>
    <w:basedOn w:val="Normal"/>
    <w:link w:val="TtuloCar"/>
    <w:qFormat w:val="1"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character" w:styleId="TtuloCar" w:customStyle="1">
    <w:name w:val="Título Car"/>
    <w:basedOn w:val="Fuentedeprrafopredeter"/>
    <w:link w:val="Ttulo"/>
    <w:rsid w:val="00FD15DD"/>
    <w:rPr>
      <w:rFonts w:ascii="Times New Roman" w:cs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F51D0D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F218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195281"/>
    <w:pPr>
      <w:spacing w:after="120" w:afterAutospacing="1" w:line="240" w:lineRule="auto"/>
    </w:pPr>
    <w:rPr>
      <w:rFonts w:asciiTheme="minorHAnsi" w:cstheme="minorBidi" w:eastAsiaTheme="minorHAnsi" w:hAnsiTheme="minorHAnsi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195281"/>
    <w:rPr>
      <w:lang w:val="es-ES"/>
    </w:rPr>
  </w:style>
  <w:style w:type="paragraph" w:styleId="NormalWeb">
    <w:name w:val="Normal (Web)"/>
    <w:basedOn w:val="Normal"/>
    <w:uiPriority w:val="99"/>
    <w:unhideWhenUsed w:val="1"/>
    <w:rsid w:val="002D519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efault" w:customStyle="1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TZQRYBMR3qCX/dNFf8VqT3z6A==">AMUW2mUj4nsyVN1wk+xk3y6jMvgJI0GdqTBpDRR1C9FQNc6s3OuKPm4BpeklaCiDflVifj0NQom5pdeT2exRlkU37KLdDdbfGH8Cuc+P7mdBiucUO9Oidrfp7fxO1wpJ2C7PWqAseAAL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2021-07-07T19:21:00Z</dcterms:created>
  <dc:creator>lorena</dc:creator>
</cp:coreProperties>
</file>